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23" w:rsidRPr="000330E8" w:rsidRDefault="00110042" w:rsidP="00A22E97">
      <w:pPr>
        <w:jc w:val="center"/>
        <w:rPr>
          <w:b/>
          <w:sz w:val="36"/>
          <w:szCs w:val="36"/>
          <w:u w:val="single"/>
        </w:rPr>
      </w:pPr>
      <w:r w:rsidRPr="00110042">
        <w:rPr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5114290</wp:posOffset>
            </wp:positionH>
            <wp:positionV relativeFrom="page">
              <wp:posOffset>590550</wp:posOffset>
            </wp:positionV>
            <wp:extent cx="828675" cy="7239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E97">
        <w:rPr>
          <w:b/>
          <w:bCs/>
          <w:sz w:val="36"/>
          <w:szCs w:val="36"/>
          <w:u w:val="single"/>
        </w:rPr>
        <w:t>C</w:t>
      </w:r>
      <w:r w:rsidR="005C2023" w:rsidRPr="000330E8">
        <w:rPr>
          <w:b/>
          <w:bCs/>
          <w:sz w:val="36"/>
          <w:szCs w:val="36"/>
          <w:u w:val="single"/>
        </w:rPr>
        <w:t>ounselor Connection</w:t>
      </w:r>
    </w:p>
    <w:p w:rsidR="005C2023" w:rsidRDefault="005C2023" w:rsidP="005C2023"/>
    <w:p w:rsidR="00C83F34" w:rsidRDefault="00C83F34" w:rsidP="005C2023"/>
    <w:p w:rsidR="005C2023" w:rsidRDefault="005C2023" w:rsidP="005C2023">
      <w:r>
        <w:t>The Creekside Guidance Department is excited to announce our lunchtime counseling t</w:t>
      </w:r>
      <w:r w:rsidR="00D679B4">
        <w:t>opics for the month of November</w:t>
      </w:r>
      <w:r>
        <w:t xml:space="preserve">. Students are invited to join us during all three lunches on the dates below. Bring your lunch and a friend for fun weekly sessions or just stop by to say hi! </w:t>
      </w:r>
    </w:p>
    <w:p w:rsidR="005C2023" w:rsidRPr="00A22E97" w:rsidRDefault="005C2023" w:rsidP="005C2023">
      <w:pPr>
        <w:rPr>
          <w:sz w:val="16"/>
          <w:szCs w:val="16"/>
        </w:rPr>
      </w:pPr>
    </w:p>
    <w:p w:rsidR="005C2023" w:rsidRPr="00A22E97" w:rsidRDefault="00D679B4" w:rsidP="005C2023">
      <w:pPr>
        <w:rPr>
          <w:color w:val="000000" w:themeColor="text1"/>
        </w:rPr>
      </w:pPr>
      <w:r w:rsidRPr="0008613E">
        <w:rPr>
          <w:b/>
          <w:color w:val="000000" w:themeColor="text1"/>
        </w:rPr>
        <w:t>November 1st</w:t>
      </w:r>
      <w:r w:rsidR="00635982" w:rsidRPr="00A22E97">
        <w:rPr>
          <w:color w:val="000000" w:themeColor="text1"/>
        </w:rPr>
        <w:t>-</w:t>
      </w:r>
      <w:r>
        <w:rPr>
          <w:color w:val="000000" w:themeColor="text1"/>
        </w:rPr>
        <w:t>Information on Dual Enrollment with SJRSC in the courtyard with Ms. Fornera</w:t>
      </w:r>
    </w:p>
    <w:p w:rsidR="00635982" w:rsidRPr="00A22E97" w:rsidRDefault="00D679B4" w:rsidP="005C2023">
      <w:pPr>
        <w:rPr>
          <w:color w:val="000000" w:themeColor="text1"/>
        </w:rPr>
      </w:pPr>
      <w:r w:rsidRPr="0008613E">
        <w:rPr>
          <w:b/>
          <w:color w:val="000000" w:themeColor="text1"/>
        </w:rPr>
        <w:t>November 8th</w:t>
      </w:r>
      <w:r w:rsidR="00635982" w:rsidRPr="00A22E97">
        <w:rPr>
          <w:color w:val="000000" w:themeColor="text1"/>
        </w:rPr>
        <w:t xml:space="preserve">- </w:t>
      </w:r>
      <w:r>
        <w:rPr>
          <w:color w:val="000000" w:themeColor="text1"/>
        </w:rPr>
        <w:t>Tips for Planning your College Visit Tour in the library with Mrs. Kennair</w:t>
      </w:r>
    </w:p>
    <w:p w:rsidR="005C2023" w:rsidRPr="00A22E97" w:rsidRDefault="00D679B4" w:rsidP="005C2023">
      <w:pPr>
        <w:rPr>
          <w:color w:val="000000" w:themeColor="text1"/>
        </w:rPr>
      </w:pPr>
      <w:r w:rsidRPr="0008613E">
        <w:rPr>
          <w:b/>
          <w:bCs/>
          <w:color w:val="000000" w:themeColor="text1"/>
        </w:rPr>
        <w:t>November 15</w:t>
      </w:r>
      <w:r w:rsidRPr="0008613E">
        <w:rPr>
          <w:b/>
          <w:bCs/>
          <w:color w:val="000000" w:themeColor="text1"/>
          <w:vertAlign w:val="superscript"/>
        </w:rPr>
        <w:t>th</w:t>
      </w:r>
      <w:r w:rsidR="00E42283">
        <w:rPr>
          <w:bCs/>
          <w:color w:val="000000" w:themeColor="text1"/>
        </w:rPr>
        <w:t xml:space="preserve">- Guidance Game </w:t>
      </w:r>
      <w:r w:rsidR="006F6D60">
        <w:rPr>
          <w:color w:val="000000" w:themeColor="text1"/>
        </w:rPr>
        <w:t>in the c</w:t>
      </w:r>
      <w:r w:rsidR="0008613E">
        <w:rPr>
          <w:color w:val="000000" w:themeColor="text1"/>
        </w:rPr>
        <w:t xml:space="preserve">ourtyard </w:t>
      </w:r>
      <w:r w:rsidR="00635982" w:rsidRPr="00A22E97">
        <w:rPr>
          <w:color w:val="000000" w:themeColor="text1"/>
        </w:rPr>
        <w:t>with Ms. Tippins</w:t>
      </w:r>
    </w:p>
    <w:p w:rsidR="00635982" w:rsidRDefault="0095370B" w:rsidP="005C2023">
      <w:pPr>
        <w:rPr>
          <w:color w:val="000000" w:themeColor="text1"/>
        </w:rPr>
      </w:pPr>
      <w:r w:rsidRPr="0008613E">
        <w:rPr>
          <w:b/>
          <w:color w:val="000000" w:themeColor="text1"/>
        </w:rPr>
        <w:t>November 17</w:t>
      </w:r>
      <w:r w:rsidR="00D679B4" w:rsidRPr="0008613E">
        <w:rPr>
          <w:b/>
          <w:color w:val="000000" w:themeColor="text1"/>
        </w:rPr>
        <w:t>th</w:t>
      </w:r>
      <w:r w:rsidR="00635982" w:rsidRPr="00A22E97">
        <w:rPr>
          <w:color w:val="000000" w:themeColor="text1"/>
        </w:rPr>
        <w:t xml:space="preserve"> </w:t>
      </w:r>
      <w:r>
        <w:rPr>
          <w:color w:val="000000" w:themeColor="text1"/>
        </w:rPr>
        <w:t>–Random Acts of Posit</w:t>
      </w:r>
      <w:r w:rsidR="006F6D60">
        <w:rPr>
          <w:color w:val="000000" w:themeColor="text1"/>
        </w:rPr>
        <w:t>ivity with Mrs. Mackoul in the c</w:t>
      </w:r>
      <w:r>
        <w:rPr>
          <w:color w:val="000000" w:themeColor="text1"/>
        </w:rPr>
        <w:t xml:space="preserve">ourtyard-stop by the guidance table to send a “gram” to teachers and students for a job well done. </w:t>
      </w:r>
    </w:p>
    <w:p w:rsidR="006F44A7" w:rsidRPr="00A22E97" w:rsidRDefault="0008613E" w:rsidP="005C2023">
      <w:pPr>
        <w:rPr>
          <w:color w:val="000000" w:themeColor="text1"/>
        </w:rPr>
      </w:pPr>
      <w:r w:rsidRPr="0008613E">
        <w:rPr>
          <w:b/>
          <w:color w:val="000000" w:themeColor="text1"/>
        </w:rPr>
        <w:t>November 29</w:t>
      </w:r>
      <w:r w:rsidR="006F44A7" w:rsidRPr="0008613E">
        <w:rPr>
          <w:b/>
          <w:color w:val="000000" w:themeColor="text1"/>
          <w:vertAlign w:val="superscript"/>
        </w:rPr>
        <w:t>th</w:t>
      </w:r>
      <w:r w:rsidR="006F44A7">
        <w:rPr>
          <w:color w:val="000000" w:themeColor="text1"/>
        </w:rPr>
        <w:t>-</w:t>
      </w:r>
      <w:r>
        <w:rPr>
          <w:color w:val="000000" w:themeColor="text1"/>
        </w:rPr>
        <w:t xml:space="preserve">Explore College options at St. Johns River State College </w:t>
      </w:r>
      <w:r w:rsidR="006F6D60">
        <w:rPr>
          <w:color w:val="000000" w:themeColor="text1"/>
        </w:rPr>
        <w:t xml:space="preserve">with Mrs. Heidenreich in the courtyard. </w:t>
      </w:r>
    </w:p>
    <w:p w:rsidR="00635982" w:rsidRPr="00A22E97" w:rsidRDefault="00635982" w:rsidP="005C2023">
      <w:pPr>
        <w:rPr>
          <w:color w:val="000000" w:themeColor="text1"/>
          <w:sz w:val="16"/>
          <w:szCs w:val="16"/>
        </w:rPr>
      </w:pPr>
    </w:p>
    <w:p w:rsidR="005C2023" w:rsidRDefault="005C2023" w:rsidP="005C2023">
      <w:r>
        <w:t>Chec</w:t>
      </w:r>
      <w:r w:rsidR="00635982">
        <w:t xml:space="preserve">k out the new scholarships for </w:t>
      </w:r>
      <w:r w:rsidR="00D679B4">
        <w:t xml:space="preserve">November and December </w:t>
      </w:r>
      <w:r>
        <w:t>on the CHS website.</w:t>
      </w:r>
    </w:p>
    <w:p w:rsidR="008E28E6" w:rsidRDefault="008E28E6" w:rsidP="005C2023"/>
    <w:p w:rsidR="008E28E6" w:rsidRDefault="008E28E6" w:rsidP="005C2023">
      <w:r>
        <w:t xml:space="preserve">Test dates </w:t>
      </w:r>
      <w:r w:rsidR="00C83F34">
        <w:t xml:space="preserve">for the CPT have been scheduled. Student may pick up an application in the guidance office. For addition information on St. Johns River State College Dual Enrollment, students may visit: </w:t>
      </w:r>
      <w:hyperlink r:id="rId5" w:history="1">
        <w:r w:rsidR="00C83F34" w:rsidRPr="00114272">
          <w:rPr>
            <w:rStyle w:val="Hyperlink"/>
          </w:rPr>
          <w:t>http://www-chs.stjohns.k12.fl.us/guidance/dual-enrollment-sjrsc/</w:t>
        </w:r>
      </w:hyperlink>
      <w:r w:rsidR="00C83F34">
        <w:t xml:space="preserve"> </w:t>
      </w:r>
    </w:p>
    <w:p w:rsidR="008E28E6" w:rsidRDefault="008E28E6" w:rsidP="005C2023"/>
    <w:tbl>
      <w:tblPr>
        <w:tblW w:w="8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4291"/>
      </w:tblGrid>
      <w:tr w:rsidR="008E28E6" w:rsidRPr="008E28E6" w:rsidTr="008E28E6">
        <w:tc>
          <w:tcPr>
            <w:tcW w:w="3060" w:type="dxa"/>
            <w:vAlign w:val="center"/>
            <w:hideMark/>
          </w:tcPr>
          <w:p w:rsidR="008E28E6" w:rsidRPr="0008613E" w:rsidRDefault="008E28E6" w:rsidP="008E28E6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u w:val="single"/>
              </w:rPr>
            </w:pPr>
            <w:r w:rsidRPr="0008613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</w:rPr>
              <w:t>CPT TEST DATE</w:t>
            </w:r>
          </w:p>
        </w:tc>
        <w:tc>
          <w:tcPr>
            <w:tcW w:w="3150" w:type="dxa"/>
            <w:vAlign w:val="center"/>
            <w:hideMark/>
          </w:tcPr>
          <w:p w:rsidR="008E28E6" w:rsidRPr="0008613E" w:rsidRDefault="008E28E6" w:rsidP="008E28E6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u w:val="single"/>
              </w:rPr>
            </w:pPr>
            <w:r w:rsidRPr="0008613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</w:rPr>
              <w:t>APPLICATION DEADLINE</w:t>
            </w:r>
          </w:p>
        </w:tc>
      </w:tr>
      <w:tr w:rsidR="008E28E6" w:rsidRPr="008E28E6" w:rsidTr="008E28E6">
        <w:tc>
          <w:tcPr>
            <w:tcW w:w="3060" w:type="dxa"/>
            <w:vAlign w:val="center"/>
            <w:hideMark/>
          </w:tcPr>
          <w:p w:rsidR="008E28E6" w:rsidRPr="0008613E" w:rsidRDefault="008E28E6" w:rsidP="008E28E6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08613E">
              <w:rPr>
                <w:rFonts w:asciiTheme="minorHAnsi" w:eastAsia="Times New Roman" w:hAnsiTheme="minorHAnsi" w:cstheme="minorHAnsi"/>
                <w:color w:val="000000" w:themeColor="text1"/>
              </w:rPr>
              <w:t>Tuesday, January 16, 2018</w:t>
            </w:r>
          </w:p>
        </w:tc>
        <w:tc>
          <w:tcPr>
            <w:tcW w:w="3150" w:type="dxa"/>
            <w:vAlign w:val="center"/>
            <w:hideMark/>
          </w:tcPr>
          <w:p w:rsidR="008E28E6" w:rsidRPr="0008613E" w:rsidRDefault="008E28E6" w:rsidP="008E28E6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08613E">
              <w:rPr>
                <w:rFonts w:asciiTheme="minorHAnsi" w:eastAsia="Times New Roman" w:hAnsiTheme="minorHAnsi" w:cstheme="minorHAnsi"/>
                <w:color w:val="000000" w:themeColor="text1"/>
              </w:rPr>
              <w:t>Friday, December 8, 2017</w:t>
            </w:r>
          </w:p>
        </w:tc>
      </w:tr>
      <w:tr w:rsidR="008E28E6" w:rsidRPr="008E28E6" w:rsidTr="008E28E6">
        <w:tc>
          <w:tcPr>
            <w:tcW w:w="3060" w:type="dxa"/>
            <w:vAlign w:val="center"/>
            <w:hideMark/>
          </w:tcPr>
          <w:p w:rsidR="008E28E6" w:rsidRPr="0008613E" w:rsidRDefault="008E28E6" w:rsidP="008E28E6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08613E">
              <w:rPr>
                <w:rFonts w:asciiTheme="minorHAnsi" w:eastAsia="Times New Roman" w:hAnsiTheme="minorHAnsi" w:cstheme="minorHAnsi"/>
                <w:color w:val="000000" w:themeColor="text1"/>
              </w:rPr>
              <w:t>Monday, January 22, 2018</w:t>
            </w:r>
          </w:p>
        </w:tc>
        <w:tc>
          <w:tcPr>
            <w:tcW w:w="3150" w:type="dxa"/>
            <w:vAlign w:val="center"/>
            <w:hideMark/>
          </w:tcPr>
          <w:p w:rsidR="008E28E6" w:rsidRPr="0008613E" w:rsidRDefault="008E28E6" w:rsidP="008E28E6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08613E">
              <w:rPr>
                <w:rFonts w:asciiTheme="minorHAnsi" w:eastAsia="Times New Roman" w:hAnsiTheme="minorHAnsi" w:cstheme="minorHAnsi"/>
                <w:color w:val="000000" w:themeColor="text1"/>
              </w:rPr>
              <w:t>Friday, December 15, 2017</w:t>
            </w:r>
          </w:p>
        </w:tc>
      </w:tr>
      <w:tr w:rsidR="008E28E6" w:rsidRPr="008E28E6" w:rsidTr="008E28E6">
        <w:tc>
          <w:tcPr>
            <w:tcW w:w="3060" w:type="dxa"/>
            <w:vAlign w:val="center"/>
            <w:hideMark/>
          </w:tcPr>
          <w:p w:rsidR="008E28E6" w:rsidRPr="0008613E" w:rsidRDefault="008E28E6" w:rsidP="008E28E6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08613E">
              <w:rPr>
                <w:rFonts w:asciiTheme="minorHAnsi" w:eastAsia="Times New Roman" w:hAnsiTheme="minorHAnsi" w:cstheme="minorHAnsi"/>
                <w:color w:val="000000" w:themeColor="text1"/>
              </w:rPr>
              <w:t>Friday, February 23, 2018</w:t>
            </w:r>
          </w:p>
        </w:tc>
        <w:tc>
          <w:tcPr>
            <w:tcW w:w="3150" w:type="dxa"/>
            <w:vAlign w:val="center"/>
            <w:hideMark/>
          </w:tcPr>
          <w:p w:rsidR="008E28E6" w:rsidRPr="0008613E" w:rsidRDefault="008E28E6" w:rsidP="008E28E6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08613E">
              <w:rPr>
                <w:rFonts w:asciiTheme="minorHAnsi" w:eastAsia="Times New Roman" w:hAnsiTheme="minorHAnsi" w:cstheme="minorHAnsi"/>
                <w:color w:val="000000" w:themeColor="text1"/>
              </w:rPr>
              <w:t>Wednesday, January 17, 2018</w:t>
            </w:r>
          </w:p>
        </w:tc>
      </w:tr>
    </w:tbl>
    <w:p w:rsidR="008E28E6" w:rsidRDefault="008E28E6" w:rsidP="005C2023"/>
    <w:p w:rsidR="00D679B4" w:rsidRPr="0008613E" w:rsidRDefault="0008613E" w:rsidP="005C2023">
      <w:pPr>
        <w:rPr>
          <w:b/>
          <w:u w:val="single"/>
        </w:rPr>
      </w:pPr>
      <w:r w:rsidRPr="0008613E">
        <w:rPr>
          <w:b/>
          <w:u w:val="single"/>
        </w:rPr>
        <w:t>Cocoa and Cram for the Class of 2021 is scheduled for December 13</w:t>
      </w:r>
      <w:r w:rsidRPr="0008613E">
        <w:rPr>
          <w:b/>
          <w:u w:val="single"/>
          <w:vertAlign w:val="superscript"/>
        </w:rPr>
        <w:t>th</w:t>
      </w:r>
      <w:r w:rsidRPr="0008613E">
        <w:rPr>
          <w:b/>
          <w:u w:val="single"/>
        </w:rPr>
        <w:t xml:space="preserve"> from 3-5. More details to come. </w:t>
      </w:r>
    </w:p>
    <w:p w:rsidR="0008613E" w:rsidRDefault="0008613E" w:rsidP="005C2023"/>
    <w:p w:rsidR="00D679B4" w:rsidRDefault="008E28E6" w:rsidP="005C2023">
      <w:pPr>
        <w:rPr>
          <w:b/>
          <w:u w:val="single"/>
        </w:rPr>
      </w:pPr>
      <w:r w:rsidRPr="008E28E6">
        <w:rPr>
          <w:b/>
          <w:u w:val="single"/>
        </w:rPr>
        <w:t>Mark your calendar now for the exam week kick-off: December 18</w:t>
      </w:r>
      <w:r w:rsidRPr="008E28E6">
        <w:rPr>
          <w:b/>
          <w:u w:val="single"/>
          <w:vertAlign w:val="superscript"/>
        </w:rPr>
        <w:t>th</w:t>
      </w:r>
      <w:r w:rsidRPr="008E28E6">
        <w:rPr>
          <w:b/>
          <w:u w:val="single"/>
        </w:rPr>
        <w:t xml:space="preserve"> at 8:30 am in the courtyard</w:t>
      </w:r>
    </w:p>
    <w:p w:rsidR="008E28E6" w:rsidRPr="00A22E97" w:rsidRDefault="008E28E6" w:rsidP="005C2023">
      <w:pPr>
        <w:rPr>
          <w:sz w:val="16"/>
          <w:szCs w:val="16"/>
        </w:rPr>
      </w:pPr>
    </w:p>
    <w:p w:rsidR="005C2023" w:rsidRDefault="005C2023" w:rsidP="005C2023">
      <w:r>
        <w:rPr>
          <w:b/>
          <w:bCs/>
        </w:rPr>
        <w:t>Upcoming College Visits</w:t>
      </w:r>
      <w:r>
        <w:t>:</w:t>
      </w:r>
    </w:p>
    <w:p w:rsidR="000330E8" w:rsidRDefault="000330E8" w:rsidP="000330E8">
      <w:pPr>
        <w:rPr>
          <w:b/>
          <w:bCs/>
        </w:rPr>
      </w:pPr>
      <w:r>
        <w:rPr>
          <w:b/>
          <w:bCs/>
        </w:rPr>
        <w:t xml:space="preserve">Students who would like to attend one of the college visits should sign up in the guidance department no later than one day prior to the visit. </w:t>
      </w:r>
    </w:p>
    <w:p w:rsidR="005C2023" w:rsidRPr="00A22E97" w:rsidRDefault="005C2023" w:rsidP="005C2023">
      <w:pPr>
        <w:rPr>
          <w:rFonts w:ascii="Lucida Calligraphy" w:hAnsi="Lucida Calligraphy"/>
          <w:sz w:val="16"/>
          <w:szCs w:val="16"/>
        </w:rPr>
      </w:pPr>
    </w:p>
    <w:tbl>
      <w:tblPr>
        <w:tblpPr w:leftFromText="180" w:rightFromText="180" w:vertAnchor="text" w:horzAnchor="margin" w:tblpY="45"/>
        <w:tblW w:w="8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0"/>
      </w:tblGrid>
      <w:tr w:rsidR="000330E8" w:rsidTr="000330E8">
        <w:trPr>
          <w:trHeight w:val="205"/>
        </w:trPr>
        <w:tc>
          <w:tcPr>
            <w:tcW w:w="8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70" w:type="dxa"/>
              <w:bottom w:w="3" w:type="dxa"/>
              <w:right w:w="35" w:type="dxa"/>
            </w:tcMar>
          </w:tcPr>
          <w:tbl>
            <w:tblPr>
              <w:tblStyle w:val="TableGrid"/>
              <w:tblW w:w="8095" w:type="dxa"/>
              <w:jc w:val="center"/>
              <w:tblInd w:w="0" w:type="dxa"/>
              <w:tblCellMar>
                <w:top w:w="22" w:type="dxa"/>
                <w:left w:w="107" w:type="dxa"/>
                <w:bottom w:w="6" w:type="dxa"/>
                <w:right w:w="54" w:type="dxa"/>
              </w:tblCellMar>
              <w:tblLook w:val="04A0" w:firstRow="1" w:lastRow="0" w:firstColumn="1" w:lastColumn="0" w:noHBand="0" w:noVBand="1"/>
            </w:tblPr>
            <w:tblGrid>
              <w:gridCol w:w="2965"/>
              <w:gridCol w:w="1710"/>
              <w:gridCol w:w="1890"/>
              <w:gridCol w:w="1530"/>
            </w:tblGrid>
            <w:tr w:rsidR="00E61E1A" w:rsidTr="00E61E1A">
              <w:trPr>
                <w:trHeight w:val="308"/>
                <w:jc w:val="center"/>
              </w:trPr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</w:tcPr>
                <w:p w:rsidR="00E61E1A" w:rsidRDefault="00E61E1A" w:rsidP="00E61E1A">
                  <w:pPr>
                    <w:framePr w:hSpace="180" w:wrap="around" w:vAnchor="text" w:hAnchor="margin" w:y="45"/>
                    <w:rPr>
                      <w:rFonts w:ascii="Berlin Sans FB" w:hAnsi="Berlin Sans FB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hideMark/>
                </w:tcPr>
                <w:p w:rsidR="00E61E1A" w:rsidRDefault="00E61E1A" w:rsidP="00E61E1A">
                  <w:pPr>
                    <w:framePr w:hSpace="180" w:wrap="around" w:vAnchor="text" w:hAnchor="margin" w:y="45"/>
                    <w:ind w:left="2"/>
                  </w:pPr>
                  <w:r>
                    <w:rPr>
                      <w:rFonts w:eastAsia="Calibri" w:cs="Calibri"/>
                      <w:b/>
                    </w:rPr>
                    <w:t xml:space="preserve">Date Visit 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hideMark/>
                </w:tcPr>
                <w:p w:rsidR="00E61E1A" w:rsidRDefault="00E61E1A" w:rsidP="00E61E1A">
                  <w:pPr>
                    <w:framePr w:hSpace="180" w:wrap="around" w:vAnchor="text" w:hAnchor="margin" w:y="45"/>
                    <w:ind w:left="2"/>
                  </w:pPr>
                  <w:r>
                    <w:rPr>
                      <w:rFonts w:eastAsia="Calibri" w:cs="Calibri"/>
                      <w:b/>
                    </w:rPr>
                    <w:t xml:space="preserve">Time Visit 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hideMark/>
                </w:tcPr>
                <w:p w:rsidR="00E61E1A" w:rsidRDefault="00E61E1A" w:rsidP="00E61E1A">
                  <w:pPr>
                    <w:framePr w:hSpace="180" w:wrap="around" w:vAnchor="text" w:hAnchor="margin" w:y="45"/>
                    <w:ind w:left="2"/>
                  </w:pPr>
                  <w:r>
                    <w:rPr>
                      <w:rFonts w:eastAsia="Calibri" w:cs="Calibri"/>
                      <w:b/>
                    </w:rPr>
                    <w:t xml:space="preserve">Location </w:t>
                  </w:r>
                </w:p>
              </w:tc>
            </w:tr>
            <w:tr w:rsidR="00D679B4" w:rsidTr="00D679B4">
              <w:trPr>
                <w:trHeight w:val="324"/>
                <w:jc w:val="center"/>
              </w:trPr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9B4" w:rsidRDefault="00D679B4" w:rsidP="00D679B4">
                  <w:pPr>
                    <w:framePr w:hSpace="180" w:wrap="around" w:vAnchor="text" w:hAnchor="margin" w:y="45"/>
                    <w:tabs>
                      <w:tab w:val="left" w:pos="2070"/>
                    </w:tabs>
                    <w:spacing w:line="259" w:lineRule="auto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Savannah College of Art &amp; Design (SCAD)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9B4" w:rsidRDefault="00D679B4" w:rsidP="00D679B4">
                  <w:pPr>
                    <w:framePr w:hSpace="180" w:wrap="around" w:vAnchor="text" w:hAnchor="margin" w:y="45"/>
                    <w:spacing w:line="259" w:lineRule="auto"/>
                    <w:ind w:right="47"/>
                    <w:jc w:val="right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 xml:space="preserve"> November 2nd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9B4" w:rsidRDefault="00D679B4" w:rsidP="00D679B4">
                  <w:pPr>
                    <w:framePr w:hSpace="180" w:wrap="around" w:vAnchor="text" w:hAnchor="margin" w:y="45"/>
                    <w:spacing w:line="259" w:lineRule="auto"/>
                    <w:ind w:left="2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2</w:t>
                  </w:r>
                  <w:r w:rsidRPr="005C0804">
                    <w:rPr>
                      <w:rFonts w:eastAsia="Calibri" w:cs="Calibri"/>
                      <w:b/>
                      <w:vertAlign w:val="superscript"/>
                    </w:rPr>
                    <w:t>nd</w:t>
                  </w:r>
                  <w:r>
                    <w:rPr>
                      <w:rFonts w:eastAsia="Calibri" w:cs="Calibri"/>
                      <w:b/>
                    </w:rPr>
                    <w:t xml:space="preserve"> Period</w:t>
                  </w:r>
                </w:p>
                <w:p w:rsidR="00D679B4" w:rsidRDefault="00D679B4" w:rsidP="00D679B4">
                  <w:pPr>
                    <w:framePr w:hSpace="180" w:wrap="around" w:vAnchor="text" w:hAnchor="margin" w:y="45"/>
                    <w:spacing w:line="259" w:lineRule="auto"/>
                    <w:ind w:left="2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(10:05 - 10:50)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679B4" w:rsidRDefault="00D679B4" w:rsidP="00D679B4">
                  <w:pPr>
                    <w:framePr w:hSpace="180" w:wrap="around" w:vAnchor="text" w:hAnchor="margin" w:y="45"/>
                    <w:spacing w:line="259" w:lineRule="auto"/>
                    <w:ind w:left="2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Auditorium</w:t>
                  </w:r>
                </w:p>
              </w:tc>
            </w:tr>
            <w:tr w:rsidR="00D679B4" w:rsidTr="00D679B4">
              <w:trPr>
                <w:trHeight w:val="324"/>
                <w:jc w:val="center"/>
              </w:trPr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9B4" w:rsidRDefault="00D679B4" w:rsidP="00D679B4">
                  <w:pPr>
                    <w:framePr w:hSpace="180" w:wrap="around" w:vAnchor="text" w:hAnchor="margin" w:y="45"/>
                    <w:tabs>
                      <w:tab w:val="left" w:pos="2070"/>
                    </w:tabs>
                    <w:spacing w:line="259" w:lineRule="auto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University of Alabama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9B4" w:rsidRDefault="00D679B4" w:rsidP="00D679B4">
                  <w:pPr>
                    <w:framePr w:hSpace="180" w:wrap="around" w:vAnchor="text" w:hAnchor="margin" w:y="45"/>
                    <w:spacing w:line="259" w:lineRule="auto"/>
                    <w:ind w:right="47"/>
                    <w:jc w:val="center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November 2nd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9B4" w:rsidRDefault="00D679B4" w:rsidP="00D679B4">
                  <w:pPr>
                    <w:framePr w:hSpace="180" w:wrap="around" w:vAnchor="text" w:hAnchor="margin" w:y="45"/>
                    <w:spacing w:line="259" w:lineRule="auto"/>
                    <w:ind w:left="2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5</w:t>
                  </w:r>
                  <w:r w:rsidRPr="0078102E">
                    <w:rPr>
                      <w:rFonts w:eastAsia="Calibri" w:cs="Calibri"/>
                      <w:b/>
                      <w:vertAlign w:val="superscript"/>
                    </w:rPr>
                    <w:t>th</w:t>
                  </w:r>
                  <w:r>
                    <w:rPr>
                      <w:rFonts w:eastAsia="Calibri" w:cs="Calibri"/>
                      <w:b/>
                    </w:rPr>
                    <w:t xml:space="preserve"> Period</w:t>
                  </w:r>
                </w:p>
                <w:p w:rsidR="00D679B4" w:rsidRDefault="00D679B4" w:rsidP="00D679B4">
                  <w:pPr>
                    <w:framePr w:hSpace="180" w:wrap="around" w:vAnchor="text" w:hAnchor="margin" w:y="45"/>
                    <w:spacing w:line="259" w:lineRule="auto"/>
                    <w:ind w:left="2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(1:20 – 2:05)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679B4" w:rsidRDefault="00D679B4" w:rsidP="00D679B4">
                  <w:pPr>
                    <w:framePr w:hSpace="180" w:wrap="around" w:vAnchor="text" w:hAnchor="margin" w:y="45"/>
                    <w:spacing w:line="259" w:lineRule="auto"/>
                    <w:ind w:left="2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Professional Library</w:t>
                  </w:r>
                </w:p>
              </w:tc>
            </w:tr>
            <w:tr w:rsidR="006F6D60" w:rsidTr="00D679B4">
              <w:trPr>
                <w:trHeight w:val="324"/>
                <w:jc w:val="center"/>
              </w:trPr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D60" w:rsidRDefault="006F6D60" w:rsidP="00D679B4">
                  <w:pPr>
                    <w:framePr w:hSpace="180" w:wrap="around" w:vAnchor="text" w:hAnchor="margin" w:y="45"/>
                    <w:tabs>
                      <w:tab w:val="left" w:pos="2070"/>
                    </w:tabs>
                    <w:spacing w:line="259" w:lineRule="auto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Florida Institute of Technology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D60" w:rsidRDefault="006F6D60" w:rsidP="00D679B4">
                  <w:pPr>
                    <w:framePr w:hSpace="180" w:wrap="around" w:vAnchor="text" w:hAnchor="margin" w:y="45"/>
                    <w:spacing w:line="259" w:lineRule="auto"/>
                    <w:ind w:right="47"/>
                    <w:jc w:val="center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November 7</w:t>
                  </w:r>
                  <w:r w:rsidRPr="006F6D60">
                    <w:rPr>
                      <w:rFonts w:eastAsia="Calibri" w:cs="Calibri"/>
                      <w:b/>
                      <w:vertAlign w:val="superscript"/>
                    </w:rPr>
                    <w:t>th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D60" w:rsidRDefault="006F6D60" w:rsidP="00D679B4">
                  <w:pPr>
                    <w:framePr w:hSpace="180" w:wrap="around" w:vAnchor="text" w:hAnchor="margin" w:y="45"/>
                    <w:spacing w:line="259" w:lineRule="auto"/>
                    <w:ind w:left="2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2</w:t>
                  </w:r>
                  <w:r w:rsidRPr="006F6D60">
                    <w:rPr>
                      <w:rFonts w:eastAsia="Calibri" w:cs="Calibri"/>
                      <w:b/>
                      <w:vertAlign w:val="superscript"/>
                    </w:rPr>
                    <w:t>nd</w:t>
                  </w:r>
                  <w:r>
                    <w:rPr>
                      <w:rFonts w:eastAsia="Calibri" w:cs="Calibri"/>
                      <w:b/>
                    </w:rPr>
                    <w:t xml:space="preserve"> Period (10:05-10:50)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F6D60" w:rsidRDefault="006F6D60" w:rsidP="00D679B4">
                  <w:pPr>
                    <w:framePr w:hSpace="180" w:wrap="around" w:vAnchor="text" w:hAnchor="margin" w:y="45"/>
                    <w:spacing w:line="259" w:lineRule="auto"/>
                    <w:ind w:left="2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Professional Library</w:t>
                  </w:r>
                </w:p>
              </w:tc>
            </w:tr>
            <w:tr w:rsidR="00D679B4" w:rsidTr="00D679B4">
              <w:trPr>
                <w:trHeight w:val="324"/>
                <w:jc w:val="center"/>
              </w:trPr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9B4" w:rsidRPr="00A72DAA" w:rsidRDefault="00D679B4" w:rsidP="00D679B4">
                  <w:pPr>
                    <w:framePr w:hSpace="180" w:wrap="around" w:vAnchor="text" w:hAnchor="margin" w:y="45"/>
                    <w:spacing w:line="259" w:lineRule="auto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 xml:space="preserve">Florida Polytechnic 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9B4" w:rsidRPr="00A72DAA" w:rsidRDefault="00D679B4" w:rsidP="00D679B4">
                  <w:pPr>
                    <w:framePr w:hSpace="180" w:wrap="around" w:vAnchor="text" w:hAnchor="margin" w:y="45"/>
                    <w:spacing w:line="259" w:lineRule="auto"/>
                    <w:ind w:right="47"/>
                    <w:jc w:val="right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November 15th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9B4" w:rsidRDefault="00D679B4" w:rsidP="00D679B4">
                  <w:pPr>
                    <w:framePr w:hSpace="180" w:wrap="around" w:vAnchor="text" w:hAnchor="margin" w:y="45"/>
                    <w:spacing w:line="259" w:lineRule="auto"/>
                    <w:ind w:left="2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7</w:t>
                  </w:r>
                  <w:r w:rsidRPr="00271C07">
                    <w:rPr>
                      <w:rFonts w:eastAsia="Calibri" w:cs="Calibri"/>
                      <w:b/>
                      <w:vertAlign w:val="superscript"/>
                    </w:rPr>
                    <w:t>th</w:t>
                  </w:r>
                  <w:r>
                    <w:rPr>
                      <w:rFonts w:eastAsia="Calibri" w:cs="Calibri"/>
                      <w:b/>
                    </w:rPr>
                    <w:t xml:space="preserve"> Period</w:t>
                  </w:r>
                </w:p>
                <w:p w:rsidR="00D679B4" w:rsidRPr="00A72DAA" w:rsidRDefault="00D679B4" w:rsidP="00D679B4">
                  <w:pPr>
                    <w:framePr w:hSpace="180" w:wrap="around" w:vAnchor="text" w:hAnchor="margin" w:y="45"/>
                    <w:spacing w:line="259" w:lineRule="auto"/>
                    <w:ind w:left="2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(</w:t>
                  </w:r>
                  <w:r w:rsidRPr="005C0804">
                    <w:rPr>
                      <w:rFonts w:eastAsia="Calibri" w:cs="Calibri"/>
                      <w:b/>
                    </w:rPr>
                    <w:t>2:10 - 2:45</w:t>
                  </w:r>
                  <w:r>
                    <w:rPr>
                      <w:rFonts w:eastAsia="Calibri" w:cs="Calibri"/>
                      <w:b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679B4" w:rsidRPr="00A72DAA" w:rsidRDefault="00D679B4" w:rsidP="00D679B4">
                  <w:pPr>
                    <w:framePr w:hSpace="180" w:wrap="around" w:vAnchor="text" w:hAnchor="margin" w:y="45"/>
                    <w:spacing w:line="259" w:lineRule="auto"/>
                    <w:ind w:left="2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Professional Library</w:t>
                  </w:r>
                </w:p>
              </w:tc>
            </w:tr>
          </w:tbl>
          <w:p w:rsidR="000330E8" w:rsidRDefault="000330E8" w:rsidP="000330E8">
            <w:pPr>
              <w:rPr>
                <w:rFonts w:ascii="Berlin Sans FB" w:hAnsi="Berlin Sans FB"/>
                <w:b/>
                <w:bCs/>
                <w:sz w:val="24"/>
                <w:szCs w:val="24"/>
              </w:rPr>
            </w:pPr>
          </w:p>
        </w:tc>
      </w:tr>
    </w:tbl>
    <w:p w:rsidR="005C2023" w:rsidRDefault="005C2023" w:rsidP="005C2023">
      <w:pPr>
        <w:rPr>
          <w:rFonts w:ascii="Lucida Calligraphy" w:hAnsi="Lucida Calligraphy"/>
        </w:rPr>
      </w:pPr>
    </w:p>
    <w:p w:rsidR="005C2023" w:rsidRDefault="005C2023" w:rsidP="005C2023">
      <w:pPr>
        <w:rPr>
          <w:rFonts w:ascii="Lucida Calligraphy" w:hAnsi="Lucida Calligraphy"/>
        </w:rPr>
      </w:pPr>
    </w:p>
    <w:p w:rsidR="005C2023" w:rsidRDefault="005C2023" w:rsidP="005C2023">
      <w:pPr>
        <w:rPr>
          <w:rFonts w:ascii="Lucida Calligraphy" w:hAnsi="Lucida Calligraphy"/>
        </w:rPr>
      </w:pPr>
    </w:p>
    <w:p w:rsidR="005C2023" w:rsidRDefault="005C2023" w:rsidP="005C2023">
      <w:pPr>
        <w:ind w:left="2160" w:firstLine="720"/>
        <w:rPr>
          <w:rFonts w:ascii="Lucida Calligraphy" w:hAnsi="Lucida Calligraphy"/>
        </w:rPr>
      </w:pPr>
    </w:p>
    <w:p w:rsidR="005C2023" w:rsidRDefault="005C2023" w:rsidP="005C2023">
      <w:pPr>
        <w:ind w:left="2160" w:firstLine="720"/>
        <w:rPr>
          <w:rFonts w:ascii="Lucida Calligraphy" w:hAnsi="Lucida Calligraphy"/>
        </w:rPr>
      </w:pPr>
    </w:p>
    <w:p w:rsidR="005C2023" w:rsidRDefault="005C2023" w:rsidP="005C2023">
      <w:pPr>
        <w:ind w:left="2160" w:firstLine="720"/>
        <w:rPr>
          <w:rFonts w:ascii="Lucida Calligraphy" w:hAnsi="Lucida Calligraphy"/>
        </w:rPr>
      </w:pPr>
    </w:p>
    <w:p w:rsidR="005C2023" w:rsidRDefault="005C2023" w:rsidP="005C2023">
      <w:pPr>
        <w:ind w:left="2160" w:firstLine="720"/>
        <w:rPr>
          <w:rFonts w:ascii="Lucida Calligraphy" w:hAnsi="Lucida Calligraphy"/>
        </w:rPr>
      </w:pPr>
    </w:p>
    <w:p w:rsidR="005C2023" w:rsidRDefault="005C2023" w:rsidP="005C2023">
      <w:pPr>
        <w:ind w:left="2160" w:firstLine="720"/>
        <w:rPr>
          <w:rFonts w:ascii="Lucida Calligraphy" w:hAnsi="Lucida Calligraphy"/>
        </w:rPr>
      </w:pPr>
    </w:p>
    <w:p w:rsidR="005C2023" w:rsidRDefault="005C2023" w:rsidP="005C2023">
      <w:pPr>
        <w:ind w:left="2160" w:firstLine="720"/>
        <w:rPr>
          <w:rFonts w:ascii="Lucida Calligraphy" w:hAnsi="Lucida Calligraphy"/>
        </w:rPr>
      </w:pPr>
    </w:p>
    <w:p w:rsidR="001C3C33" w:rsidRDefault="001C3C33">
      <w:bookmarkStart w:id="0" w:name="_GoBack"/>
      <w:bookmarkEnd w:id="0"/>
    </w:p>
    <w:sectPr w:rsidR="001C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3"/>
    <w:rsid w:val="000330E8"/>
    <w:rsid w:val="0008613E"/>
    <w:rsid w:val="00110042"/>
    <w:rsid w:val="00162470"/>
    <w:rsid w:val="001C3C33"/>
    <w:rsid w:val="0030389A"/>
    <w:rsid w:val="005C2023"/>
    <w:rsid w:val="00635982"/>
    <w:rsid w:val="006F44A7"/>
    <w:rsid w:val="006F6D60"/>
    <w:rsid w:val="008E28E6"/>
    <w:rsid w:val="0095370B"/>
    <w:rsid w:val="009560CC"/>
    <w:rsid w:val="00A22E97"/>
    <w:rsid w:val="00C33E09"/>
    <w:rsid w:val="00C83F34"/>
    <w:rsid w:val="00D311D1"/>
    <w:rsid w:val="00D679B4"/>
    <w:rsid w:val="00E42283"/>
    <w:rsid w:val="00E61E1A"/>
    <w:rsid w:val="00EB1100"/>
    <w:rsid w:val="00EC3F29"/>
    <w:rsid w:val="00F1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FD37"/>
  <w15:chartTrackingRefBased/>
  <w15:docId w15:val="{DAABAE35-543F-4432-B345-345ADA77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0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023"/>
    <w:rPr>
      <w:color w:val="0563C1"/>
      <w:u w:val="single"/>
    </w:rPr>
  </w:style>
  <w:style w:type="table" w:customStyle="1" w:styleId="TableGrid">
    <w:name w:val="TableGrid"/>
    <w:rsid w:val="000330E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85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46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0856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3" w:color="DDDDDD"/>
                      </w:divBdr>
                      <w:divsChild>
                        <w:div w:id="14308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-chs.stjohns.k12.fl.us/guidance/dual-enrollment-sjrsc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SJSCCM-01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Kennair</dc:creator>
  <cp:keywords/>
  <dc:description/>
  <cp:lastModifiedBy>Amy Kennair</cp:lastModifiedBy>
  <cp:revision>3</cp:revision>
  <cp:lastPrinted>2017-11-01T16:38:00Z</cp:lastPrinted>
  <dcterms:created xsi:type="dcterms:W3CDTF">2017-11-01T15:52:00Z</dcterms:created>
  <dcterms:modified xsi:type="dcterms:W3CDTF">2017-11-01T18:23:00Z</dcterms:modified>
</cp:coreProperties>
</file>