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3" w:rsidRPr="000330E8" w:rsidRDefault="00110042" w:rsidP="00A22E97">
      <w:pPr>
        <w:jc w:val="center"/>
        <w:rPr>
          <w:b/>
          <w:sz w:val="36"/>
          <w:szCs w:val="36"/>
          <w:u w:val="single"/>
        </w:rPr>
      </w:pPr>
      <w:r w:rsidRPr="00110042"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5114290</wp:posOffset>
            </wp:positionH>
            <wp:positionV relativeFrom="page">
              <wp:posOffset>590550</wp:posOffset>
            </wp:positionV>
            <wp:extent cx="828675" cy="7239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97">
        <w:rPr>
          <w:b/>
          <w:bCs/>
          <w:sz w:val="36"/>
          <w:szCs w:val="36"/>
          <w:u w:val="single"/>
        </w:rPr>
        <w:t>C</w:t>
      </w:r>
      <w:r w:rsidR="005C2023" w:rsidRPr="000330E8">
        <w:rPr>
          <w:b/>
          <w:bCs/>
          <w:sz w:val="36"/>
          <w:szCs w:val="36"/>
          <w:u w:val="single"/>
        </w:rPr>
        <w:t>ounselor Connection</w:t>
      </w:r>
    </w:p>
    <w:p w:rsidR="005C2023" w:rsidRDefault="005C2023" w:rsidP="005C2023"/>
    <w:p w:rsidR="005C2023" w:rsidRDefault="005C2023" w:rsidP="005C2023">
      <w:r>
        <w:t>The Creekside Guidance Department is excited to announce our lunchtime counseling t</w:t>
      </w:r>
      <w:r w:rsidR="00635982">
        <w:t>opics for the month of October</w:t>
      </w:r>
      <w:r>
        <w:t xml:space="preserve">. Students are invited to join us during all three lunches on the dates below. Bring your lunch and a friend for fun weekly sessions or just stop by to say hi! </w:t>
      </w:r>
    </w:p>
    <w:p w:rsidR="005C2023" w:rsidRPr="00A22E97" w:rsidRDefault="005C2023" w:rsidP="005C2023">
      <w:pPr>
        <w:rPr>
          <w:sz w:val="16"/>
          <w:szCs w:val="16"/>
        </w:rPr>
      </w:pPr>
    </w:p>
    <w:p w:rsidR="005C2023" w:rsidRPr="00A22E97" w:rsidRDefault="00635982" w:rsidP="005C2023">
      <w:pPr>
        <w:rPr>
          <w:color w:val="000000" w:themeColor="text1"/>
        </w:rPr>
      </w:pPr>
      <w:r w:rsidRPr="00A22E97">
        <w:rPr>
          <w:color w:val="000000" w:themeColor="text1"/>
        </w:rPr>
        <w:t>October 4</w:t>
      </w:r>
      <w:r w:rsidRPr="00A22E97">
        <w:rPr>
          <w:color w:val="000000" w:themeColor="text1"/>
          <w:vertAlign w:val="superscript"/>
        </w:rPr>
        <w:t>th</w:t>
      </w:r>
      <w:r w:rsidRPr="00A22E97">
        <w:rPr>
          <w:color w:val="000000" w:themeColor="text1"/>
        </w:rPr>
        <w:t>-Bright Futures Information-in the courtyard with Ms. Fornera</w:t>
      </w:r>
    </w:p>
    <w:p w:rsidR="00635982" w:rsidRPr="00A22E97" w:rsidRDefault="00D311D1" w:rsidP="005C2023">
      <w:pPr>
        <w:rPr>
          <w:color w:val="000000" w:themeColor="text1"/>
        </w:rPr>
      </w:pPr>
      <w:r>
        <w:rPr>
          <w:color w:val="000000" w:themeColor="text1"/>
        </w:rPr>
        <w:t>October 10</w:t>
      </w:r>
      <w:r w:rsidR="00635982" w:rsidRPr="00A22E97">
        <w:rPr>
          <w:color w:val="000000" w:themeColor="text1"/>
          <w:vertAlign w:val="superscript"/>
        </w:rPr>
        <w:t>th</w:t>
      </w:r>
      <w:r w:rsidR="00635982" w:rsidRPr="00A22E97">
        <w:rPr>
          <w:color w:val="000000" w:themeColor="text1"/>
        </w:rPr>
        <w:t>- Florida Shines in the media center with Ms. Kennair</w:t>
      </w:r>
      <w:r w:rsidR="00A22E97" w:rsidRPr="00A22E97">
        <w:rPr>
          <w:color w:val="000000" w:themeColor="text1"/>
        </w:rPr>
        <w:t xml:space="preserve"> (students will need their SS#)</w:t>
      </w:r>
    </w:p>
    <w:p w:rsidR="005C2023" w:rsidRPr="00A22E97" w:rsidRDefault="00635982" w:rsidP="005C2023">
      <w:pPr>
        <w:rPr>
          <w:color w:val="000000" w:themeColor="text1"/>
        </w:rPr>
      </w:pPr>
      <w:proofErr w:type="gramStart"/>
      <w:r w:rsidRPr="00A22E97">
        <w:rPr>
          <w:bCs/>
          <w:color w:val="000000" w:themeColor="text1"/>
        </w:rPr>
        <w:t>October  18</w:t>
      </w:r>
      <w:proofErr w:type="gramEnd"/>
      <w:r w:rsidRPr="00A22E97">
        <w:rPr>
          <w:bCs/>
          <w:color w:val="000000" w:themeColor="text1"/>
          <w:vertAlign w:val="superscript"/>
        </w:rPr>
        <w:t>th</w:t>
      </w:r>
      <w:r w:rsidR="000330E8" w:rsidRPr="00A22E97">
        <w:rPr>
          <w:b/>
          <w:bCs/>
          <w:color w:val="000000" w:themeColor="text1"/>
          <w:vertAlign w:val="superscript"/>
        </w:rPr>
        <w:t>-</w:t>
      </w:r>
      <w:r w:rsidRPr="00A22E97">
        <w:rPr>
          <w:b/>
          <w:bCs/>
          <w:color w:val="000000" w:themeColor="text1"/>
        </w:rPr>
        <w:t xml:space="preserve"> </w:t>
      </w:r>
      <w:r w:rsidRPr="00A22E97">
        <w:rPr>
          <w:color w:val="000000" w:themeColor="text1"/>
        </w:rPr>
        <w:t>Know Your Options After High School</w:t>
      </w:r>
      <w:r w:rsidR="000330E8" w:rsidRPr="00A22E97">
        <w:rPr>
          <w:color w:val="000000" w:themeColor="text1"/>
        </w:rPr>
        <w:t xml:space="preserve"> in the courtyard</w:t>
      </w:r>
      <w:r w:rsidRPr="00A22E97">
        <w:rPr>
          <w:color w:val="000000" w:themeColor="text1"/>
        </w:rPr>
        <w:t xml:space="preserve"> with Ms. Tippins</w:t>
      </w:r>
    </w:p>
    <w:p w:rsidR="00635982" w:rsidRDefault="00635982" w:rsidP="005C2023">
      <w:pPr>
        <w:rPr>
          <w:color w:val="000000" w:themeColor="text1"/>
        </w:rPr>
      </w:pPr>
      <w:r w:rsidRPr="00A22E97">
        <w:rPr>
          <w:color w:val="000000" w:themeColor="text1"/>
        </w:rPr>
        <w:t>October 25</w:t>
      </w:r>
      <w:r w:rsidRPr="00A22E97">
        <w:rPr>
          <w:color w:val="000000" w:themeColor="text1"/>
          <w:vertAlign w:val="superscript"/>
        </w:rPr>
        <w:t>th</w:t>
      </w:r>
      <w:r w:rsidRPr="00A22E97">
        <w:rPr>
          <w:color w:val="000000" w:themeColor="text1"/>
        </w:rPr>
        <w:t xml:space="preserve"> </w:t>
      </w:r>
      <w:r w:rsidR="000330E8" w:rsidRPr="00A22E97">
        <w:rPr>
          <w:color w:val="000000" w:themeColor="text1"/>
        </w:rPr>
        <w:t>-</w:t>
      </w:r>
      <w:r w:rsidRPr="00A22E97">
        <w:rPr>
          <w:color w:val="000000" w:themeColor="text1"/>
        </w:rPr>
        <w:t>C</w:t>
      </w:r>
      <w:r w:rsidR="000330E8" w:rsidRPr="00A22E97">
        <w:rPr>
          <w:color w:val="000000" w:themeColor="text1"/>
        </w:rPr>
        <w:t>areer I</w:t>
      </w:r>
      <w:r w:rsidRPr="00A22E97">
        <w:rPr>
          <w:color w:val="000000" w:themeColor="text1"/>
        </w:rPr>
        <w:t>nventory in the media center with Ms. Heidenreich</w:t>
      </w:r>
    </w:p>
    <w:p w:rsidR="006F44A7" w:rsidRPr="00A22E97" w:rsidRDefault="006F44A7" w:rsidP="005C2023">
      <w:pPr>
        <w:rPr>
          <w:color w:val="000000" w:themeColor="text1"/>
        </w:rPr>
      </w:pPr>
      <w:r>
        <w:rPr>
          <w:color w:val="000000" w:themeColor="text1"/>
        </w:rPr>
        <w:t>October 26</w:t>
      </w:r>
      <w:r w:rsidRPr="006F44A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-Testing Strategies with Ms. Ma</w:t>
      </w:r>
      <w:r w:rsidR="00162470">
        <w:rPr>
          <w:color w:val="000000" w:themeColor="text1"/>
        </w:rPr>
        <w:t>c</w:t>
      </w:r>
      <w:r>
        <w:rPr>
          <w:color w:val="000000" w:themeColor="text1"/>
        </w:rPr>
        <w:t>koul in the Professional library</w:t>
      </w:r>
    </w:p>
    <w:p w:rsidR="00635982" w:rsidRPr="00A22E97" w:rsidRDefault="00635982" w:rsidP="005C2023">
      <w:pPr>
        <w:rPr>
          <w:color w:val="000000" w:themeColor="text1"/>
          <w:sz w:val="16"/>
          <w:szCs w:val="16"/>
        </w:rPr>
      </w:pPr>
    </w:p>
    <w:p w:rsidR="005C2023" w:rsidRDefault="005C2023" w:rsidP="005C2023">
      <w:r>
        <w:t>Chec</w:t>
      </w:r>
      <w:r w:rsidR="00635982">
        <w:t>k out the new scholarships for November</w:t>
      </w:r>
      <w:r>
        <w:t xml:space="preserve"> on the CHS website.</w:t>
      </w:r>
    </w:p>
    <w:p w:rsidR="00A22E97" w:rsidRPr="00A22E97" w:rsidRDefault="00A22E97" w:rsidP="005C2023">
      <w:pPr>
        <w:rPr>
          <w:sz w:val="16"/>
          <w:szCs w:val="16"/>
        </w:rPr>
      </w:pPr>
    </w:p>
    <w:p w:rsidR="00A22E97" w:rsidRDefault="00A22E97" w:rsidP="005C2023">
      <w:r w:rsidRPr="00A22E97">
        <w:rPr>
          <w:b/>
          <w:u w:val="single"/>
        </w:rPr>
        <w:t>Seniors:</w:t>
      </w:r>
      <w:r>
        <w:t xml:space="preserve"> The Bright Futures application and the FAFSA application opened on October 1</w:t>
      </w:r>
      <w:r w:rsidRPr="00A22E97">
        <w:rPr>
          <w:vertAlign w:val="superscript"/>
        </w:rPr>
        <w:t>st</w:t>
      </w:r>
      <w:r>
        <w:t xml:space="preserve">. Students may begin applying now. </w:t>
      </w:r>
    </w:p>
    <w:p w:rsidR="00C33E09" w:rsidRPr="00A22E97" w:rsidRDefault="00C33E09" w:rsidP="005C2023">
      <w:pPr>
        <w:rPr>
          <w:sz w:val="16"/>
          <w:szCs w:val="16"/>
        </w:rPr>
      </w:pPr>
    </w:p>
    <w:p w:rsidR="000330E8" w:rsidRDefault="00C33E09" w:rsidP="005C2023">
      <w:r>
        <w:t>PSAT will be given on October 11</w:t>
      </w:r>
      <w:r w:rsidRPr="00C33E09">
        <w:rPr>
          <w:vertAlign w:val="superscript"/>
        </w:rPr>
        <w:t>th</w:t>
      </w:r>
      <w:r>
        <w:t>. For more inf</w:t>
      </w:r>
      <w:r w:rsidR="000330E8">
        <w:t xml:space="preserve">ormation and resources visit </w:t>
      </w:r>
    </w:p>
    <w:p w:rsidR="00C33E09" w:rsidRDefault="0030389A" w:rsidP="005C2023">
      <w:hyperlink r:id="rId5" w:history="1">
        <w:r w:rsidR="000330E8" w:rsidRPr="000330E8">
          <w:rPr>
            <w:rStyle w:val="Hyperlink"/>
          </w:rPr>
          <w:t>https://www-chs.stjohns.k12.fl.us/guidance/news/</w:t>
        </w:r>
      </w:hyperlink>
    </w:p>
    <w:p w:rsidR="005C2023" w:rsidRPr="00A22E97" w:rsidRDefault="005C2023" w:rsidP="005C2023">
      <w:pPr>
        <w:rPr>
          <w:sz w:val="16"/>
          <w:szCs w:val="16"/>
        </w:rPr>
      </w:pPr>
    </w:p>
    <w:p w:rsidR="005C2023" w:rsidRDefault="005C2023" w:rsidP="005C2023">
      <w:r>
        <w:rPr>
          <w:b/>
          <w:bCs/>
        </w:rPr>
        <w:t>Upcoming College Visits</w:t>
      </w:r>
      <w:r>
        <w:t>:</w:t>
      </w:r>
    </w:p>
    <w:p w:rsidR="000330E8" w:rsidRDefault="000330E8" w:rsidP="000330E8">
      <w:pPr>
        <w:rPr>
          <w:b/>
          <w:bCs/>
        </w:rPr>
      </w:pPr>
      <w:r>
        <w:rPr>
          <w:b/>
          <w:bCs/>
        </w:rPr>
        <w:t xml:space="preserve">Students who would like to attend one of the college visits should sign up in the guidance department no later than one day prior to the visit. </w:t>
      </w:r>
    </w:p>
    <w:p w:rsidR="005C2023" w:rsidRPr="00A22E97" w:rsidRDefault="005C2023" w:rsidP="005C2023">
      <w:pPr>
        <w:rPr>
          <w:rFonts w:ascii="Lucida Calligraphy" w:hAnsi="Lucida Calligraphy"/>
          <w:sz w:val="16"/>
          <w:szCs w:val="16"/>
        </w:rPr>
      </w:pPr>
    </w:p>
    <w:tbl>
      <w:tblPr>
        <w:tblpPr w:leftFromText="180" w:rightFromText="180" w:vertAnchor="text" w:horzAnchor="margin" w:tblpY="45"/>
        <w:tblW w:w="8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0330E8" w:rsidTr="000330E8">
        <w:trPr>
          <w:trHeight w:val="205"/>
        </w:trPr>
        <w:tc>
          <w:tcPr>
            <w:tcW w:w="8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0" w:type="dxa"/>
              <w:bottom w:w="3" w:type="dxa"/>
              <w:right w:w="35" w:type="dxa"/>
            </w:tcMar>
          </w:tcPr>
          <w:tbl>
            <w:tblPr>
              <w:tblStyle w:val="TableGrid"/>
              <w:tblW w:w="8095" w:type="dxa"/>
              <w:jc w:val="center"/>
              <w:tblInd w:w="0" w:type="dxa"/>
              <w:tblCellMar>
                <w:top w:w="22" w:type="dxa"/>
                <w:left w:w="107" w:type="dxa"/>
                <w:bottom w:w="6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1710"/>
              <w:gridCol w:w="1890"/>
              <w:gridCol w:w="1530"/>
            </w:tblGrid>
            <w:tr w:rsidR="00E61E1A" w:rsidTr="00E61E1A">
              <w:trPr>
                <w:trHeight w:val="308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</w:tcPr>
                <w:p w:rsidR="00E61E1A" w:rsidRDefault="00E61E1A" w:rsidP="00E61E1A">
                  <w:pPr>
                    <w:framePr w:hSpace="180" w:wrap="around" w:vAnchor="text" w:hAnchor="margin" w:y="45"/>
                    <w:rPr>
                      <w:rFonts w:ascii="Berlin Sans FB" w:hAnsi="Berlin Sans FB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Date Visit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Time Visit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EBF7"/>
                  <w:hideMark/>
                </w:tcPr>
                <w:p w:rsidR="00E61E1A" w:rsidRDefault="00E61E1A" w:rsidP="00E61E1A">
                  <w:pPr>
                    <w:framePr w:hSpace="180" w:wrap="around" w:vAnchor="text" w:hAnchor="margin" w:y="45"/>
                    <w:ind w:left="2"/>
                  </w:pPr>
                  <w:r>
                    <w:rPr>
                      <w:rFonts w:eastAsia="Calibri" w:cs="Calibri"/>
                      <w:b/>
                    </w:rPr>
                    <w:t xml:space="preserve">Location 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Christopher Newport University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5rd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3rd Period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(10:55 – 11:40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University of Georgia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11th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3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 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(10:35 – 11:15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Small Cafeteria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First Coast Technical College  JUNIORS and SENIORS ONLY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13th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3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(10:55 – 11:40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University of Chicago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18th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jc w:val="center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2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jc w:val="center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(9:55 – 10:30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Valdosta University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18th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3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(10:35 – 11:10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University of Florida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18th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5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 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(12:50 – 1:25 pm)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Auditorium</w:t>
                  </w:r>
                </w:p>
              </w:tc>
            </w:tr>
            <w:tr w:rsidR="00E61E1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University of Connecticut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October 18th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7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</w:t>
                  </w:r>
                </w:p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(2:10 – 2:34 pm)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1E1A" w:rsidRPr="006F44A7" w:rsidRDefault="00E61E1A" w:rsidP="00E61E1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30389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Pr="006F44A7" w:rsidRDefault="0030389A" w:rsidP="0030389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Vanderbilt University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Pr="006F44A7" w:rsidRDefault="0030389A" w:rsidP="0030389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sz w:val="20"/>
                      <w:szCs w:val="20"/>
                    </w:rPr>
                    <w:t>October 23</w:t>
                  </w:r>
                  <w:r w:rsidRPr="0030389A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Pr="006F44A7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3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 xml:space="preserve"> Period</w:t>
                  </w:r>
                </w:p>
                <w:p w:rsidR="0030389A" w:rsidRPr="006F44A7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10:55 – 11:40 am)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0389A" w:rsidRPr="006F44A7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  <w:sz w:val="20"/>
                      <w:szCs w:val="20"/>
                    </w:rPr>
                  </w:pPr>
                  <w:r w:rsidRPr="006F44A7">
                    <w:rPr>
                      <w:rFonts w:eastAsia="Calibri" w:cs="Calibri"/>
                      <w:b/>
                      <w:sz w:val="20"/>
                      <w:szCs w:val="20"/>
                    </w:rPr>
                    <w:t>Professional Library</w:t>
                  </w:r>
                </w:p>
              </w:tc>
            </w:tr>
            <w:tr w:rsidR="0030389A" w:rsidTr="00E61E1A">
              <w:trPr>
                <w:trHeight w:val="324"/>
                <w:jc w:val="center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Default="0030389A" w:rsidP="0030389A">
                  <w:pPr>
                    <w:framePr w:hSpace="180" w:wrap="around" w:vAnchor="text" w:hAnchor="margin" w:y="45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Queens University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Default="0030389A" w:rsidP="0030389A">
                  <w:pPr>
                    <w:framePr w:hSpace="180" w:wrap="around" w:vAnchor="text" w:hAnchor="margin" w:y="45"/>
                    <w:ind w:right="47"/>
                    <w:jc w:val="right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October 30th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389A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2</w:t>
                  </w:r>
                  <w:r>
                    <w:rPr>
                      <w:rFonts w:eastAsia="Calibri" w:cs="Calibri"/>
                      <w:b/>
                      <w:vertAlign w:val="superscript"/>
                    </w:rPr>
                    <w:t>nd</w:t>
                  </w:r>
                  <w:r>
                    <w:rPr>
                      <w:rFonts w:eastAsia="Calibri" w:cs="Calibri"/>
                      <w:b/>
                    </w:rPr>
                    <w:t xml:space="preserve"> Period </w:t>
                  </w:r>
                </w:p>
                <w:p w:rsidR="0030389A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(10:05 – 10:30 pm)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0389A" w:rsidRDefault="0030389A" w:rsidP="0030389A">
                  <w:pPr>
                    <w:framePr w:hSpace="180" w:wrap="around" w:vAnchor="text" w:hAnchor="margin" w:y="45"/>
                    <w:ind w:left="2"/>
                    <w:rPr>
                      <w:rFonts w:eastAsia="Calibri" w:cs="Calibri"/>
                      <w:b/>
                    </w:rPr>
                  </w:pPr>
                  <w:r>
                    <w:rPr>
                      <w:rFonts w:eastAsia="Calibri" w:cs="Calibri"/>
                      <w:b/>
                    </w:rPr>
                    <w:t>Professional Library</w:t>
                  </w:r>
                </w:p>
              </w:tc>
            </w:tr>
          </w:tbl>
          <w:p w:rsidR="000330E8" w:rsidRDefault="000330E8" w:rsidP="000330E8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</w:p>
        </w:tc>
      </w:tr>
    </w:tbl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1C3C33" w:rsidRDefault="001C3C33"/>
    <w:sectPr w:rsidR="001C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3"/>
    <w:rsid w:val="000330E8"/>
    <w:rsid w:val="00110042"/>
    <w:rsid w:val="00162470"/>
    <w:rsid w:val="001C3C33"/>
    <w:rsid w:val="0030389A"/>
    <w:rsid w:val="005C2023"/>
    <w:rsid w:val="00635982"/>
    <w:rsid w:val="006F44A7"/>
    <w:rsid w:val="00A22E97"/>
    <w:rsid w:val="00C33E09"/>
    <w:rsid w:val="00D311D1"/>
    <w:rsid w:val="00E61E1A"/>
    <w:rsid w:val="00E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864B"/>
  <w15:chartTrackingRefBased/>
  <w15:docId w15:val="{DAABAE35-543F-4432-B345-345ADA77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23"/>
    <w:rPr>
      <w:color w:val="0563C1"/>
      <w:u w:val="single"/>
    </w:rPr>
  </w:style>
  <w:style w:type="table" w:customStyle="1" w:styleId="TableGrid">
    <w:name w:val="TableGrid"/>
    <w:rsid w:val="000330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chs.stjohns.k12.fl.us/guidance/new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SJSCCM-01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Kennair</dc:creator>
  <cp:keywords/>
  <dc:description/>
  <cp:lastModifiedBy>Amy Kennair</cp:lastModifiedBy>
  <cp:revision>2</cp:revision>
  <dcterms:created xsi:type="dcterms:W3CDTF">2017-10-05T20:48:00Z</dcterms:created>
  <dcterms:modified xsi:type="dcterms:W3CDTF">2017-10-05T20:48:00Z</dcterms:modified>
</cp:coreProperties>
</file>